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eastAsia="宋体" w:cs="Arial"/>
          <w:b/>
          <w:bCs/>
          <w:iCs/>
          <w:sz w:val="24"/>
          <w:szCs w:val="24"/>
          <w:highlight w:val="none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 xml:space="preserve"> #1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29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R2-2500445</w:t>
      </w:r>
    </w:p>
    <w:p>
      <w:pPr>
        <w:pStyle w:val="33"/>
        <w:tabs>
          <w:tab w:val="left" w:pos="1701"/>
          <w:tab w:val="right" w:pos="9923"/>
        </w:tabs>
        <w:rPr>
          <w:rFonts w:hint="eastAsia" w:ascii="Arial" w:hAnsi="Arial" w:eastAsia="SimSun" w:cs="Arial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eastAsia="宋体"/>
          <w:sz w:val="24"/>
          <w:szCs w:val="24"/>
          <w:highlight w:val="none"/>
          <w:lang w:val="en-US" w:eastAsia="zh-CN"/>
        </w:rPr>
        <w:t>Athens</w:t>
      </w:r>
      <w:r>
        <w:rPr>
          <w:sz w:val="24"/>
          <w:szCs w:val="24"/>
          <w:highlight w:val="none"/>
          <w:lang w:eastAsia="ja-JP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Greece</w:t>
      </w:r>
      <w:r>
        <w:rPr>
          <w:sz w:val="24"/>
          <w:szCs w:val="24"/>
          <w:highlight w:val="none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February</w:t>
      </w:r>
      <w:r>
        <w:rPr>
          <w:sz w:val="24"/>
          <w:szCs w:val="24"/>
          <w:highlight w:val="none"/>
          <w:lang w:eastAsia="ja-JP"/>
        </w:rPr>
        <w:t xml:space="preserve">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17</w:t>
      </w:r>
      <w:r>
        <w:rPr>
          <w:sz w:val="24"/>
          <w:szCs w:val="24"/>
          <w:highlight w:val="none"/>
          <w:vertAlign w:val="superscript"/>
          <w:lang w:eastAsia="ja-JP"/>
        </w:rPr>
        <w:t>th</w:t>
      </w:r>
      <w:r>
        <w:rPr>
          <w:sz w:val="24"/>
          <w:szCs w:val="24"/>
          <w:highlight w:val="none"/>
          <w:lang w:eastAsia="ja-JP"/>
        </w:rPr>
        <w:t xml:space="preserve"> –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21</w:t>
      </w:r>
      <w:r>
        <w:rPr>
          <w:rFonts w:hint="eastAsia" w:eastAsia="宋体"/>
          <w:b/>
          <w:sz w:val="24"/>
          <w:szCs w:val="24"/>
          <w:highlight w:val="none"/>
          <w:vertAlign w:val="superscript"/>
          <w:lang w:val="en-US" w:eastAsia="zh-CN"/>
        </w:rPr>
        <w:t>st</w:t>
      </w:r>
      <w:r>
        <w:rPr>
          <w:sz w:val="24"/>
          <w:szCs w:val="24"/>
          <w:highlight w:val="none"/>
          <w:lang w:eastAsia="ja-JP"/>
        </w:rPr>
        <w:t>, 202</w:t>
      </w:r>
      <w:r>
        <w:rPr>
          <w:rFonts w:hint="eastAsia" w:eastAsia="SimSun"/>
          <w:sz w:val="24"/>
          <w:szCs w:val="24"/>
          <w:highlight w:val="none"/>
          <w:lang w:val="en-US" w:eastAsia="zh-CN"/>
        </w:rPr>
        <w:t>5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306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1226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16.19.0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Correction on the mandatory features for IAB-MT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MS Mincho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 Corporation, Sanechips, </w:t>
            </w:r>
            <w:r>
              <w:rPr>
                <w:rFonts w:hint="eastAsia"/>
                <w:lang w:val="en-US" w:eastAsia="en-US"/>
              </w:rPr>
              <w:t>Qualcomm</w:t>
            </w:r>
            <w:r>
              <w:rPr>
                <w:rFonts w:hint="eastAsia"/>
                <w:lang w:val="en-US" w:eastAsia="zh-CN"/>
              </w:rPr>
              <w:t>, Ericsson, Xiaomi,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default"/>
                <w:lang w:val="en-US" w:eastAsia="zh-CN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bookmarkStart w:id="19" w:name="_GoBack"/>
            <w:bookmarkEnd w:id="19"/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ind w:left="0" w:leftChars="0" w:firstLine="0" w:firstLineChars="0"/>
              <w:rPr>
                <w:rFonts w:hint="eastAsia" w:eastAsia="SimSun"/>
                <w:i w:val="0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During initial access, IAB-MT performs cell barring based on the </w:t>
            </w:r>
            <w:r>
              <w:rPr>
                <w:i/>
                <w:iCs/>
              </w:rPr>
              <w:t>IAB-Support</w:t>
            </w:r>
            <w:r>
              <w:rPr>
                <w:rFonts w:hint="eastAsia"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in SIB1, i.e. if this </w:t>
            </w:r>
            <w:r>
              <w:rPr>
                <w:rFonts w:cs="Arial"/>
              </w:rPr>
              <w:t>field is absent, the cell</w:t>
            </w:r>
            <w:r>
              <w:rPr>
                <w:rFonts w:hint="eastAsia" w:eastAsia="SimSun"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is bar</w:t>
            </w:r>
            <w:r>
              <w:rPr>
                <w:rFonts w:cs="Arial"/>
                <w:color w:val="auto"/>
              </w:rPr>
              <w:t>red for IAB-node</w:t>
            </w:r>
            <w:r>
              <w:rPr>
                <w:rFonts w:hint="eastAsia" w:eastAsia="SimSun" w:cs="Arial"/>
                <w:color w:val="auto"/>
                <w:lang w:val="en-US" w:eastAsia="zh-CN"/>
              </w:rPr>
              <w:t xml:space="preserve">. Besides, an IAB-MT shall include </w:t>
            </w:r>
            <w:r>
              <w:rPr>
                <w:color w:val="auto"/>
              </w:rPr>
              <w:t xml:space="preserve">the </w:t>
            </w:r>
            <w:r>
              <w:rPr>
                <w:i/>
                <w:color w:val="auto"/>
              </w:rPr>
              <w:t>iab-NodeIndication</w:t>
            </w:r>
            <w:r>
              <w:rPr>
                <w:rFonts w:hint="eastAsia" w:eastAsia="SimSun"/>
                <w:i/>
                <w:color w:val="auto"/>
                <w:lang w:val="en-US" w:eastAsia="zh-CN"/>
              </w:rPr>
              <w:t xml:space="preserve"> </w:t>
            </w:r>
            <w:r>
              <w:rPr>
                <w:rFonts w:hint="eastAsia" w:eastAsia="SimSun"/>
                <w:i w:val="0"/>
                <w:iCs/>
                <w:color w:val="auto"/>
                <w:lang w:val="en-US" w:eastAsia="zh-CN"/>
              </w:rPr>
              <w:t xml:space="preserve">in the </w:t>
            </w:r>
            <w:r>
              <w:rPr>
                <w:i/>
                <w:color w:val="auto"/>
              </w:rPr>
              <w:t>RRCSe</w:t>
            </w:r>
            <w:r>
              <w:rPr>
                <w:i/>
              </w:rPr>
              <w:t>tupComplete</w:t>
            </w:r>
            <w:r>
              <w:t xml:space="preserve"> message</w:t>
            </w:r>
            <w:r>
              <w:rPr>
                <w:rFonts w:hint="eastAsia" w:eastAsia="SimSun"/>
                <w:lang w:val="en-US" w:eastAsia="zh-CN"/>
              </w:rPr>
              <w:t xml:space="preserve"> </w:t>
            </w:r>
            <w:r>
              <w:t>if connecting as an IAB-node</w:t>
            </w:r>
            <w:r>
              <w:rPr>
                <w:rFonts w:hint="eastAsia" w:eastAsia="SimSun"/>
                <w:lang w:val="en-US" w:eastAsia="zh-CN"/>
              </w:rPr>
              <w:t xml:space="preserve">. In our understanding, these two features are mandatory features for IAB-MT, i.e. cell barring based on </w:t>
            </w:r>
            <w:r>
              <w:rPr>
                <w:i/>
                <w:iCs/>
              </w:rPr>
              <w:t>IAB-Support</w:t>
            </w: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, and </w:t>
            </w:r>
            <w:r>
              <w:rPr>
                <w:rFonts w:hint="eastAsia" w:eastAsia="SimSun"/>
                <w:lang w:val="en-US" w:eastAsia="zh-CN"/>
              </w:rPr>
              <w:t>i</w:t>
            </w:r>
            <w:r>
              <w:t xml:space="preserve">nclusion of </w:t>
            </w:r>
            <w:r>
              <w:rPr>
                <w:i/>
              </w:rPr>
              <w:t>iab-NodeIndication</w:t>
            </w:r>
            <w:r>
              <w:rPr>
                <w:rFonts w:hint="eastAsia" w:eastAsia="SimSun"/>
                <w:i/>
                <w:lang w:val="en-US" w:eastAsia="zh-CN"/>
              </w:rPr>
              <w:t>.</w:t>
            </w:r>
            <w:r>
              <w:rPr>
                <w:rFonts w:hint="eastAsia" w:eastAsia="SimSun"/>
                <w:i w:val="0"/>
                <w:iCs/>
                <w:lang w:val="en-US" w:eastAsia="zh-CN"/>
              </w:rPr>
              <w:t xml:space="preserve"> </w:t>
            </w:r>
          </w:p>
          <w:p>
            <w:pPr>
              <w:pStyle w:val="102"/>
              <w:ind w:left="0" w:leftChars="0" w:firstLine="0" w:firstLineChars="0"/>
              <w:rPr>
                <w:rFonts w:hint="eastAsia" w:eastAsia="SimSun"/>
                <w:i/>
                <w:iCs/>
                <w:lang w:val="en-US" w:eastAsia="zh-CN"/>
              </w:rPr>
            </w:pPr>
            <w:r>
              <w:rPr>
                <w:rFonts w:hint="eastAsia" w:eastAsia="SimSun"/>
                <w:i w:val="0"/>
                <w:iCs/>
                <w:lang w:val="en-US" w:eastAsia="zh-CN"/>
              </w:rPr>
              <w:t xml:space="preserve">The same situation exists in mobile IAB. And in mobile IAB, it is captured in TS 38.306 that </w:t>
            </w:r>
            <w:r>
              <w:t xml:space="preserve">it is mandatory for mobile IAB-MT to support </w:t>
            </w:r>
            <w:r>
              <w:rPr>
                <w:rFonts w:hint="eastAsia" w:eastAsia="SimSun"/>
                <w:i w:val="0"/>
                <w:iCs/>
                <w:lang w:val="en-US" w:eastAsia="zh-CN"/>
              </w:rPr>
              <w:t xml:space="preserve">cell barring based on </w:t>
            </w:r>
            <w:r>
              <w:rPr>
                <w:i/>
                <w:iCs/>
              </w:rPr>
              <w:t>mobileIAB-Support</w:t>
            </w:r>
            <w:r>
              <w:rPr>
                <w:rFonts w:hint="eastAsia"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SimSun"/>
                <w:i w:val="0"/>
                <w:iCs/>
                <w:lang w:val="en-US" w:eastAsia="zh-CN"/>
              </w:rPr>
              <w:t>and to support i</w:t>
            </w:r>
            <w:r>
              <w:t xml:space="preserve">nclusion of </w:t>
            </w:r>
            <w:r>
              <w:rPr>
                <w:i/>
                <w:iCs/>
              </w:rPr>
              <w:t>mobileIAB-NodeIndication</w:t>
            </w:r>
            <w:r>
              <w:rPr>
                <w:rFonts w:hint="eastAsia" w:eastAsia="SimSun"/>
                <w:i/>
                <w:iCs/>
                <w:lang w:val="en-US" w:eastAsia="zh-CN"/>
              </w:rPr>
              <w:t xml:space="preserve">. </w:t>
            </w:r>
          </w:p>
          <w:p>
            <w:pPr>
              <w:pStyle w:val="102"/>
              <w:ind w:left="0" w:leftChars="0" w:firstLine="0" w:firstLineChars="0"/>
              <w:rPr>
                <w:rFonts w:hint="default" w:eastAsia="SimSun"/>
                <w:lang w:val="en-US" w:eastAsia="zh-CN"/>
              </w:rPr>
            </w:pP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However, these two mandatory features for IAB-MT are missing in current TS </w:t>
            </w:r>
            <w:r>
              <w:rPr>
                <w:rFonts w:hint="eastAsia" w:eastAsia="SimSun"/>
                <w:i w:val="0"/>
                <w:iCs/>
                <w:lang w:val="en-US" w:eastAsia="zh-CN"/>
              </w:rPr>
              <w:t xml:space="preserve">38.306.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-1"/>
                <w:numId w:val="0"/>
              </w:numPr>
              <w:spacing w:after="120" w:afterLines="-2147483648"/>
              <w:rPr>
                <w:rFonts w:hint="eastAsia" w:eastAsia="SimSun"/>
                <w:i w:val="0"/>
                <w:iCs w:val="0"/>
                <w:lang w:val="en-US" w:eastAsia="zh-CN"/>
              </w:rPr>
            </w:pPr>
            <w:r>
              <w:rPr>
                <w:rFonts w:hint="eastAsia" w:eastAsia="SimSun"/>
                <w:i w:val="0"/>
                <w:iCs w:val="0"/>
                <w:lang w:val="en-US" w:eastAsia="zh-CN"/>
              </w:rPr>
              <w:t>Clarify that it</w:t>
            </w:r>
            <w:r>
              <w:rPr>
                <w:rFonts w:hint="default" w:eastAsia="SimSun"/>
                <w:i w:val="0"/>
                <w:iCs w:val="0"/>
                <w:lang w:val="en-US" w:eastAsia="zh-CN"/>
              </w:rPr>
              <w:t>’</w:t>
            </w: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s mandatory to support </w:t>
            </w:r>
            <w:r>
              <w:rPr>
                <w:rFonts w:hint="eastAsia" w:eastAsia="SimSun"/>
                <w:lang w:val="en-US" w:eastAsia="zh-CN"/>
              </w:rPr>
              <w:t xml:space="preserve">cell barring based on </w:t>
            </w:r>
            <w:r>
              <w:rPr>
                <w:i/>
                <w:iCs/>
              </w:rPr>
              <w:t>IAB-Support</w:t>
            </w:r>
            <w:r>
              <w:rPr>
                <w:rFonts w:hint="eastAsia"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and </w:t>
            </w:r>
            <w:r>
              <w:rPr>
                <w:rFonts w:hint="eastAsia" w:eastAsia="SimSun"/>
                <w:lang w:val="en-US" w:eastAsia="zh-CN"/>
              </w:rPr>
              <w:t>i</w:t>
            </w:r>
            <w:r>
              <w:t xml:space="preserve">nclusion of </w:t>
            </w:r>
            <w:r>
              <w:rPr>
                <w:i/>
              </w:rPr>
              <w:t>iab-NodeIndication</w:t>
            </w:r>
            <w:r>
              <w:rPr>
                <w:rFonts w:hint="eastAsia" w:eastAsia="SimSun"/>
                <w:i/>
                <w:lang w:val="en-US" w:eastAsia="zh-CN"/>
              </w:rPr>
              <w:t xml:space="preserve"> </w:t>
            </w: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for IAB-MT. </w:t>
            </w:r>
          </w:p>
          <w:p>
            <w:pPr>
              <w:numPr>
                <w:ilvl w:val="-1"/>
                <w:numId w:val="0"/>
              </w:numPr>
              <w:spacing w:after="120" w:afterLines="-2147483648"/>
              <w:rPr>
                <w:rFonts w:hint="eastAsia" w:eastAsia="SimSun"/>
                <w:i w:val="0"/>
                <w:iCs w:val="0"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3"/>
              <w:spacing w:after="0"/>
              <w:rPr>
                <w:u w:val="single"/>
                <w:lang w:eastAsia="zh-TW"/>
              </w:rPr>
            </w:pPr>
          </w:p>
          <w:p>
            <w:pPr>
              <w:pStyle w:val="93"/>
              <w:spacing w:after="0"/>
              <w:ind w:left="102"/>
              <w:rPr>
                <w:rFonts w:hint="eastAsia" w:eastAsia="MS Mincho"/>
                <w:u w:val="single"/>
                <w:lang w:val="en-US" w:eastAsia="zh-CN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>IAB-MT</w:t>
            </w:r>
          </w:p>
          <w:p>
            <w:pPr>
              <w:pStyle w:val="93"/>
              <w:spacing w:after="0"/>
              <w:ind w:left="102"/>
              <w:rPr>
                <w:rFonts w:hint="eastAsia"/>
                <w:i/>
                <w:iCs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>
            <w:pPr>
              <w:pStyle w:val="93"/>
              <w:spacing w:after="0"/>
              <w:ind w:left="102" w:leftChars="0" w:firstLine="0" w:firstLineChars="0"/>
              <w:rPr>
                <w:lang w:eastAsia="zh-CN"/>
              </w:rPr>
            </w:pPr>
            <w:r>
              <w:rPr>
                <w:lang w:eastAsia="zh-CN"/>
              </w:rPr>
              <w:t>No inter-operability issue is identified.</w:t>
            </w:r>
          </w:p>
          <w:p>
            <w:pPr>
              <w:numPr>
                <w:ilvl w:val="-1"/>
                <w:numId w:val="0"/>
              </w:numPr>
              <w:spacing w:after="120" w:afterLines="-2147483648"/>
              <w:rPr>
                <w:rFonts w:hint="eastAsia" w:eastAsia="SimSun"/>
                <w:i w:val="0"/>
                <w:iCs w:val="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-1"/>
                <w:numId w:val="0"/>
              </w:numPr>
              <w:spacing w:after="120" w:afterLines="-2147483648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 xml:space="preserve">In case the IAB-MT does not implement </w:t>
            </w:r>
            <w:r>
              <w:rPr>
                <w:rFonts w:hint="eastAsia" w:eastAsia="SimSun"/>
                <w:lang w:val="en-US" w:eastAsia="zh-CN"/>
              </w:rPr>
              <w:t>c</w:t>
            </w:r>
            <w:r>
              <w:t xml:space="preserve">ell barring based on </w:t>
            </w:r>
            <w:r>
              <w:rPr>
                <w:i/>
                <w:iCs/>
              </w:rPr>
              <w:t>IAB-Support</w:t>
            </w:r>
            <w:r>
              <w:rPr>
                <w:rFonts w:hint="eastAsia" w:ascii="Times New Roman" w:hAnsi="Times New Roman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 xml:space="preserve">, it may connect to gNBs that do not support IAB, and consequently, it may not be able to support IAB. In case the IAB-MT does not implement </w:t>
            </w:r>
            <w:r>
              <w:rPr>
                <w:rFonts w:hint="eastAsia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>i</w:t>
            </w:r>
            <w:r>
              <w:t xml:space="preserve">nclusion of </w:t>
            </w:r>
            <w:r>
              <w:rPr>
                <w:i/>
              </w:rPr>
              <w:t>iab-NodeIndication</w:t>
            </w:r>
            <w:r>
              <w:rPr>
                <w:rFonts w:hint="eastAsia" w:ascii="Times New Roman" w:hAnsi="Times New Roman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>, the IAB-node cannot be authorized for IAB operation</w:t>
            </w:r>
            <w:r>
              <w:rPr>
                <w:rFonts w:hint="eastAsia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 xml:space="preserve"> since the </w:t>
            </w:r>
            <w:r>
              <w:rPr>
                <w:lang w:eastAsia="ja-JP"/>
              </w:rPr>
              <w:t xml:space="preserve">IAB-donor </w:t>
            </w:r>
            <w:r>
              <w:rPr>
                <w:rFonts w:hint="eastAsia" w:eastAsia="SimSun"/>
                <w:lang w:val="en-US" w:eastAsia="zh-CN"/>
              </w:rPr>
              <w:t>won</w:t>
            </w:r>
            <w:r>
              <w:rPr>
                <w:rFonts w:hint="default" w:eastAsia="SimSun"/>
                <w:lang w:val="en-US" w:eastAsia="zh-CN"/>
              </w:rPr>
              <w:t>’</w:t>
            </w:r>
            <w:r>
              <w:rPr>
                <w:rFonts w:hint="eastAsia" w:eastAsia="SimSun"/>
                <w:lang w:val="en-US" w:eastAsia="zh-CN"/>
              </w:rPr>
              <w:t>t</w:t>
            </w:r>
            <w:r>
              <w:rPr>
                <w:lang w:eastAsia="ja-JP"/>
              </w:rPr>
              <w:t xml:space="preserve"> select an AMF supporting IAB</w:t>
            </w:r>
            <w:r>
              <w:rPr>
                <w:rFonts w:hint="eastAsia" w:eastAsia="SimSun"/>
                <w:lang w:val="en-US" w:eastAsia="zh-CN"/>
              </w:rPr>
              <w:t xml:space="preserve"> for the IAB-node.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4.2.15.1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ilvl w:val="0"/>
                <w:numId w:val="2"/>
              </w:numPr>
              <w:ind w:firstLineChars="0"/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pStyle w:val="104"/>
        <w:jc w:val="center"/>
        <w:rPr>
          <w:rFonts w:ascii="Times New Roman" w:hAnsi="Times New Roman" w:cs="Times New Roman"/>
          <w:lang w:val="en-US"/>
        </w:rPr>
      </w:pPr>
      <w:bookmarkStart w:id="3" w:name="_Toc525763189"/>
      <w:bookmarkStart w:id="4" w:name="_Toc524434278"/>
      <w:r>
        <w:rPr>
          <w:rFonts w:ascii="Times New Roman" w:hAnsi="Times New Roman" w:eastAsia="宋体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>
      <w:pPr>
        <w:pStyle w:val="4"/>
      </w:pPr>
      <w:bookmarkStart w:id="5" w:name="_Toc185537353"/>
      <w:bookmarkStart w:id="6" w:name="_Toc52574104"/>
      <w:bookmarkStart w:id="7" w:name="_Toc46488683"/>
      <w:bookmarkStart w:id="8" w:name="_Toc52574190"/>
      <w:r>
        <w:t>4.2.15</w:t>
      </w:r>
      <w:r>
        <w:tab/>
      </w:r>
      <w:r>
        <w:t>IAB Parameters</w:t>
      </w:r>
      <w:bookmarkEnd w:id="5"/>
      <w:bookmarkEnd w:id="6"/>
      <w:bookmarkEnd w:id="7"/>
      <w:bookmarkEnd w:id="8"/>
    </w:p>
    <w:p>
      <w:pPr>
        <w:pStyle w:val="5"/>
      </w:pPr>
      <w:bookmarkStart w:id="9" w:name="_Toc185537354"/>
      <w:bookmarkStart w:id="10" w:name="_Toc46488684"/>
      <w:bookmarkStart w:id="11" w:name="_Toc52574191"/>
      <w:bookmarkStart w:id="12" w:name="_Toc52574105"/>
      <w:r>
        <w:t>4.2.15.1</w:t>
      </w:r>
      <w:r>
        <w:tab/>
      </w:r>
      <w:r>
        <w:t>Mandatory IAB-MT features</w:t>
      </w:r>
      <w:bookmarkEnd w:id="9"/>
      <w:bookmarkEnd w:id="10"/>
      <w:bookmarkEnd w:id="11"/>
      <w:bookmarkEnd w:id="12"/>
    </w:p>
    <w:p>
      <w:pPr>
        <w:rPr>
          <w:ins w:id="0" w:author="ZTE" w:date="2025-01-15T15:32:13Z"/>
        </w:rPr>
      </w:pPr>
      <w:r>
        <w:t xml:space="preserve">Table 4.2.15.1-1, Table 4.2.15.1-2 and Table 4.2.15.1-3 capture feature groups, which are mandatory for an IAB-MT. </w:t>
      </w:r>
      <w:ins w:id="1" w:author="ZTE" w:date="2025-01-15T15:32:13Z">
        <w:r>
          <w:rPr/>
          <w:t>In addition, it is mandatory for</w:t>
        </w:r>
      </w:ins>
      <w:ins w:id="2" w:author="ZTE" w:date="2025-01-15T16:22:28Z">
        <w:r>
          <w:rPr>
            <w:rFonts w:hint="eastAsia" w:eastAsia="SimSun"/>
            <w:lang w:val="en-US" w:eastAsia="zh-CN"/>
          </w:rPr>
          <w:t xml:space="preserve"> </w:t>
        </w:r>
      </w:ins>
      <w:ins w:id="3" w:author="ZTE" w:date="2025-01-15T16:22:29Z">
        <w:r>
          <w:rPr>
            <w:rFonts w:hint="eastAsia" w:eastAsia="SimSun"/>
            <w:lang w:val="en-US" w:eastAsia="zh-CN"/>
          </w:rPr>
          <w:t>an</w:t>
        </w:r>
      </w:ins>
      <w:ins w:id="4" w:author="ZTE" w:date="2025-01-15T15:32:13Z">
        <w:r>
          <w:rPr/>
          <w:t xml:space="preserve"> IAB-MT to support the following features:</w:t>
        </w:r>
      </w:ins>
    </w:p>
    <w:p>
      <w:pPr>
        <w:pStyle w:val="50"/>
        <w:rPr>
          <w:ins w:id="5" w:author="ZTE" w:date="2025-01-15T15:32:13Z"/>
        </w:rPr>
      </w:pPr>
      <w:ins w:id="6" w:author="ZTE" w:date="2025-01-15T15:32:13Z">
        <w:r>
          <w:rPr/>
          <w:t>-</w:t>
        </w:r>
      </w:ins>
      <w:ins w:id="7" w:author="ZTE" w:date="2025-01-15T15:32:13Z">
        <w:r>
          <w:rPr/>
          <w:tab/>
        </w:r>
      </w:ins>
      <w:ins w:id="8" w:author="ZTE" w:date="2025-01-15T15:32:13Z">
        <w:r>
          <w:rPr/>
          <w:t xml:space="preserve">Cell barring based on </w:t>
        </w:r>
      </w:ins>
      <w:ins w:id="9" w:author="ZTE" w:date="2025-01-15T15:33:12Z">
        <w:r>
          <w:rPr>
            <w:i/>
            <w:iCs/>
          </w:rPr>
          <w:t>IAB-Support</w:t>
        </w:r>
      </w:ins>
      <w:ins w:id="10" w:author="ZTE" w:date="2025-01-15T15:32:13Z">
        <w:r>
          <w:rPr/>
          <w:t>, as specified in TS 38.331 [9].</w:t>
        </w:r>
      </w:ins>
    </w:p>
    <w:p>
      <w:pPr>
        <w:pStyle w:val="50"/>
        <w:rPr>
          <w:ins w:id="11" w:author="ZTE" w:date="2025-01-15T15:32:13Z"/>
        </w:rPr>
      </w:pPr>
      <w:ins w:id="12" w:author="ZTE" w:date="2025-01-15T15:32:13Z">
        <w:r>
          <w:rPr/>
          <w:t>-</w:t>
        </w:r>
      </w:ins>
      <w:ins w:id="13" w:author="ZTE" w:date="2025-01-15T15:32:13Z">
        <w:r>
          <w:rPr/>
          <w:tab/>
        </w:r>
      </w:ins>
      <w:ins w:id="14" w:author="ZTE" w:date="2025-01-15T15:32:13Z">
        <w:r>
          <w:rPr/>
          <w:t xml:space="preserve">Inclusion of </w:t>
        </w:r>
      </w:ins>
      <w:ins w:id="15" w:author="ZTE" w:date="2025-01-15T15:33:00Z">
        <w:r>
          <w:rPr>
            <w:i/>
          </w:rPr>
          <w:t>iab-NodeIndication</w:t>
        </w:r>
      </w:ins>
      <w:ins w:id="16" w:author="ZTE" w:date="2025-01-15T15:32:13Z">
        <w:r>
          <w:rPr/>
          <w:t>, as specified in TS 38.331 [9].</w:t>
        </w:r>
      </w:ins>
    </w:p>
    <w:p>
      <w:r>
        <w:t>All other feature groups or components of the feature groups as captured in TR 38.822 [24] as well as capabilities specified in this specification are optional for an IAB-MT, unless indicated otherwise.</w:t>
      </w:r>
    </w:p>
    <w:p>
      <w:pPr>
        <w:pStyle w:val="51"/>
      </w:pPr>
      <w:r>
        <w:t>Table 4.2.15.1-1: Layer-1 mandatory features for IAB-MT</w:t>
      </w:r>
    </w:p>
    <w:tbl>
      <w:tblPr>
        <w:tblStyle w:val="41"/>
        <w:tblW w:w="1049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09"/>
        <w:gridCol w:w="2126"/>
        <w:gridCol w:w="4962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Features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Index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Feature group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Components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restart"/>
          </w:tcPr>
          <w:p>
            <w:pPr>
              <w:pStyle w:val="55"/>
            </w:pPr>
            <w:r>
              <w:t>0. Waveform, modulation, subcarrier spacings, and CP</w:t>
            </w:r>
          </w:p>
        </w:tc>
        <w:tc>
          <w:tcPr>
            <w:tcW w:w="709" w:type="dxa"/>
          </w:tcPr>
          <w:p>
            <w:pPr>
              <w:pStyle w:val="55"/>
            </w:pPr>
            <w:r>
              <w:t>0-1</w:t>
            </w:r>
          </w:p>
        </w:tc>
        <w:tc>
          <w:tcPr>
            <w:tcW w:w="2126" w:type="dxa"/>
          </w:tcPr>
          <w:p>
            <w:pPr>
              <w:pStyle w:val="55"/>
            </w:pPr>
            <w:r>
              <w:t>CP-OFDM waveform for DL and UL</w:t>
            </w:r>
          </w:p>
        </w:tc>
        <w:tc>
          <w:tcPr>
            <w:tcW w:w="4962" w:type="dxa"/>
          </w:tcPr>
          <w:p>
            <w:pPr>
              <w:pStyle w:val="55"/>
            </w:pPr>
            <w:r>
              <w:t>1) CP-OFDM for DL</w:t>
            </w:r>
          </w:p>
          <w:p>
            <w:pPr>
              <w:pStyle w:val="55"/>
            </w:pPr>
            <w:r>
              <w:t>2) CP -OFDM for UL</w:t>
            </w:r>
          </w:p>
        </w:tc>
        <w:tc>
          <w:tcPr>
            <w:tcW w:w="1559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</w:tcPr>
          <w:p>
            <w:pPr>
              <w:pStyle w:val="55"/>
            </w:pPr>
          </w:p>
        </w:tc>
        <w:tc>
          <w:tcPr>
            <w:tcW w:w="709" w:type="dxa"/>
          </w:tcPr>
          <w:p>
            <w:pPr>
              <w:pStyle w:val="55"/>
            </w:pPr>
            <w:r>
              <w:t>0-3</w:t>
            </w:r>
          </w:p>
        </w:tc>
        <w:tc>
          <w:tcPr>
            <w:tcW w:w="2126" w:type="dxa"/>
          </w:tcPr>
          <w:p>
            <w:pPr>
              <w:pStyle w:val="55"/>
            </w:pPr>
            <w:r>
              <w:t>DL modulation scheme</w:t>
            </w:r>
          </w:p>
        </w:tc>
        <w:tc>
          <w:tcPr>
            <w:tcW w:w="4962" w:type="dxa"/>
          </w:tcPr>
          <w:p>
            <w:pPr>
              <w:pStyle w:val="55"/>
            </w:pPr>
            <w:r>
              <w:t>1) QPSK modulation</w:t>
            </w:r>
          </w:p>
          <w:p>
            <w:pPr>
              <w:pStyle w:val="55"/>
            </w:pPr>
            <w:r>
              <w:t>2) 16QAM modulation</w:t>
            </w:r>
          </w:p>
          <w:p>
            <w:pPr>
              <w:pStyle w:val="55"/>
            </w:pPr>
            <w:r>
              <w:t>3) 64QAM modulation for FR1</w:t>
            </w:r>
          </w:p>
        </w:tc>
        <w:tc>
          <w:tcPr>
            <w:tcW w:w="1559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1134" w:type="dxa"/>
            <w:vMerge w:val="continue"/>
          </w:tcPr>
          <w:p>
            <w:pPr>
              <w:pStyle w:val="55"/>
            </w:pPr>
          </w:p>
        </w:tc>
        <w:tc>
          <w:tcPr>
            <w:tcW w:w="709" w:type="dxa"/>
          </w:tcPr>
          <w:p>
            <w:pPr>
              <w:pStyle w:val="55"/>
            </w:pPr>
            <w:r>
              <w:t>0-4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UL modulation scheme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QPSK modulation</w:t>
            </w:r>
          </w:p>
          <w:p>
            <w:pPr>
              <w:pStyle w:val="55"/>
            </w:pPr>
            <w:r>
              <w:t>2) 16QAM modulation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1. Initial access and mobility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1-1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initial access channels and procedures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RACH preamble format</w:t>
            </w:r>
          </w:p>
          <w:p>
            <w:pPr>
              <w:pStyle w:val="55"/>
            </w:pPr>
            <w:r>
              <w:t>2) SS block based RRM measurement</w:t>
            </w:r>
          </w:p>
          <w:p>
            <w:pPr>
              <w:pStyle w:val="55"/>
            </w:pPr>
            <w:r>
              <w:t>3) Broadcast SIB reception including RMSI/OSI and paging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Only 1 preamble for component 1), component 2), component 3) except paging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1-3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SS block based RLM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SS-SINR measurement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2. MIMO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PDSCH reception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Data RE mapping</w:t>
            </w:r>
          </w:p>
          <w:p>
            <w:pPr>
              <w:pStyle w:val="55"/>
            </w:pPr>
            <w:r>
              <w:t>2) Single layer transmission</w:t>
            </w:r>
          </w:p>
          <w:p>
            <w:pPr>
              <w:pStyle w:val="55"/>
            </w:pPr>
            <w:r>
              <w:t>3) Support one TCI state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downlink DMRS</w:t>
            </w:r>
          </w:p>
          <w:p>
            <w:pPr>
              <w:pStyle w:val="55"/>
            </w:pPr>
            <w:r>
              <w:t>for scheduling type A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Support 1 symbol FL DMRS without additional symbol(s)</w:t>
            </w:r>
          </w:p>
          <w:p>
            <w:pPr>
              <w:pStyle w:val="55"/>
            </w:pPr>
            <w:r>
              <w:t>2) Support 1 symbol FL DMRS and 1 additional DMRS symbol</w:t>
            </w:r>
          </w:p>
          <w:p>
            <w:pPr>
              <w:pStyle w:val="55"/>
            </w:pPr>
            <w:r>
              <w:t>3) Support 1 symbol FL DMRS and 2 additional DMRS symbols for at least one port.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downlink DMRS</w:t>
            </w:r>
          </w:p>
          <w:p>
            <w:pPr>
              <w:pStyle w:val="55"/>
            </w:pPr>
            <w:r>
              <w:t>for scheduling type B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Support 1 symbol FL DMRS without additional symbol(s)</w:t>
            </w:r>
          </w:p>
          <w:p>
            <w:pPr>
              <w:pStyle w:val="55"/>
            </w:pPr>
            <w:r>
              <w:t>2) Support 1 symbol FL DMRS and 1 additional DMRS symbol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PUSCH transmission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Data RE mapping</w:t>
            </w:r>
          </w:p>
          <w:p>
            <w:pPr>
              <w:pStyle w:val="55"/>
            </w:pPr>
            <w:r>
              <w:t>Single layer (single Tx) transmission</w:t>
            </w:r>
          </w:p>
          <w:p>
            <w:pPr>
              <w:pStyle w:val="55"/>
            </w:pPr>
            <w:r>
              <w:t>Single port, single resource SRS transmission (SRS set use is configured as for codebook)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uplink DMRS (uplink) for scheduling type A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Support 1 symbol FL DMRS without additional symbol(s)</w:t>
            </w:r>
          </w:p>
          <w:p>
            <w:pPr>
              <w:pStyle w:val="55"/>
            </w:pPr>
            <w:r>
              <w:t>2) Support 1 symbol FL DMRS and 1 additional DMRS symbols</w:t>
            </w:r>
          </w:p>
          <w:p>
            <w:pPr>
              <w:pStyle w:val="55"/>
            </w:pPr>
            <w:r>
              <w:t>3) Support 1 symbol FL DMRS and 2 additional DMRS symbols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2-16a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uplink DMRS</w:t>
            </w:r>
          </w:p>
          <w:p>
            <w:pPr>
              <w:pStyle w:val="55"/>
            </w:pPr>
            <w:r>
              <w:t>for scheduling type B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Support 1 symbol FL DMRS without additional symbol(s)</w:t>
            </w:r>
          </w:p>
          <w:p>
            <w:pPr>
              <w:pStyle w:val="55"/>
            </w:pPr>
            <w:r>
              <w:t>2) Support 1 symbol FL DMRS and 1 additional DMRS symbol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Aperiodic beam report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Support aperiodic report on PUSCH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CSI feedback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Type I single panel codebook based PMI (further discuss which mode or both to be supported as mandatory)</w:t>
            </w:r>
          </w:p>
          <w:p>
            <w:pPr>
              <w:pStyle w:val="55"/>
            </w:pPr>
            <w:r>
              <w:t>2) 2Tx codebook for FR1 and FR2</w:t>
            </w:r>
          </w:p>
          <w:p>
            <w:pPr>
              <w:pStyle w:val="55"/>
            </w:pPr>
            <w:r>
              <w:t>3) 4Tx codebook for FR1</w:t>
            </w:r>
          </w:p>
          <w:p>
            <w:pPr>
              <w:pStyle w:val="55"/>
            </w:pPr>
            <w:r>
              <w:t>4) 8Tx codebook for FR1 when configured as wideband CSI report</w:t>
            </w:r>
          </w:p>
          <w:p>
            <w:pPr>
              <w:pStyle w:val="55"/>
            </w:pPr>
            <w:r>
              <w:t>7) a-CSI on PUSCH (at least Z value &gt;= 14 symbols, detail processing time to be discussed separately)</w:t>
            </w:r>
          </w:p>
          <w:p>
            <w:pPr>
              <w:pStyle w:val="55"/>
            </w:pPr>
            <w:r>
              <w:t>further check a-CSI on p-CSI-RS and/or SP-CSI-RS from component-7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TRS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Support of TRS (mandatory)</w:t>
            </w:r>
          </w:p>
          <w:p>
            <w:pPr>
              <w:pStyle w:val="55"/>
            </w:pPr>
            <w:r>
              <w:t>2) All the periodicity are supported.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SRS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Support 1 port SRS transmission</w:t>
            </w:r>
          </w:p>
          <w:p>
            <w:pPr>
              <w:pStyle w:val="55"/>
            </w:pPr>
            <w:r>
              <w:t>2) Support periodic/aperiodic SRS transmission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3. DL control channel and procedure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3-1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DL control channel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One configured CORESET per BWP per cell in addition to CORESET0</w:t>
            </w:r>
          </w:p>
          <w:p>
            <w:pPr>
              <w:pStyle w:val="55"/>
            </w:pPr>
            <w:r>
              <w:t>- CORESET resource allocation of 6RB bit-map and duration of 1 – 3 OFDM symbols for FR1</w:t>
            </w:r>
          </w:p>
          <w:p>
            <w:pPr>
              <w:pStyle w:val="55"/>
            </w:pPr>
            <w:r>
              <w:t>- For type 1 CSS without dedicated RRC configuration and for type 0, 0A, and 2 CSSs, CORESET resource allocation of 6RB bit-map and duration 1-3 OFDM symbols for FR2</w:t>
            </w:r>
          </w:p>
          <w:p>
            <w:pPr>
              <w:pStyle w:val="55"/>
            </w:pPr>
            <w:r>
              <w:t>- For type 1 CSS with dedicated RRC configuration and for type 3 CSS, UE specific SS, CORESET resource allocation of 6RB bit-map and duration 1-2 OFDM symbols for FR2</w:t>
            </w:r>
          </w:p>
          <w:p>
            <w:pPr>
              <w:pStyle w:val="55"/>
            </w:pPr>
            <w:r>
              <w:t>- REG-bundle sizes of 2/3 RBs or 6 RBs</w:t>
            </w:r>
          </w:p>
          <w:p>
            <w:pPr>
              <w:pStyle w:val="55"/>
            </w:pPr>
            <w:r>
              <w:t>- Interleaved and non-interleaved CCE-to-REG mapping</w:t>
            </w:r>
          </w:p>
          <w:p>
            <w:pPr>
              <w:pStyle w:val="55"/>
            </w:pPr>
            <w:r>
              <w:t>- Precoder-granularity of REG-bundle size</w:t>
            </w:r>
          </w:p>
          <w:p>
            <w:pPr>
              <w:pStyle w:val="55"/>
            </w:pPr>
            <w:r>
              <w:t>- PDCCH DMRS scrambling determination</w:t>
            </w:r>
          </w:p>
          <w:p>
            <w:pPr>
              <w:pStyle w:val="55"/>
            </w:pPr>
            <w:r>
              <w:t>- TCI state(s) for a CORESET configuration</w:t>
            </w:r>
          </w:p>
          <w:p>
            <w:pPr>
              <w:pStyle w:val="55"/>
            </w:pPr>
            <w:r>
              <w:t>2) CSS and UE-SS configurations for unicast PDCCH transmission per BWP per cell</w:t>
            </w:r>
          </w:p>
          <w:p>
            <w:pPr>
              <w:pStyle w:val="55"/>
            </w:pPr>
            <w:r>
              <w:t>- PDCCH aggregation levels 1, 2, 4, 8, 16</w:t>
            </w:r>
          </w:p>
          <w:p>
            <w:pPr>
              <w:pStyle w:val="55"/>
            </w:pPr>
            <w:r>
              <w:t>- UP to 3 search space sets in a slot for a scheduled SCell per BWP</w:t>
            </w:r>
          </w:p>
          <w:p>
            <w:pPr>
              <w:pStyle w:val="55"/>
            </w:pPr>
            <w:r>
              <w:t>This search space limit is before applying all dropping rules.</w:t>
            </w:r>
          </w:p>
          <w:p>
            <w:pPr>
              <w:pStyle w:val="55"/>
            </w:pPr>
            <w:r>
              <w:t>- For type 1 CSS with dedicated RRC configuration, type 3 CSS, and UE-SS, the monitoring occasion is within the first 3 OFDM symbols of a slot</w:t>
            </w:r>
          </w:p>
          <w:p>
            <w:pPr>
              <w:pStyle w:val="55"/>
            </w:pPr>
            <w:r>
              <w:t>- For type 1 CSS without dedicated RRC configuration and for type 0, 0A, and 2 CSS, the monitoring occasion can be any OFDM symbol(s) of a slot, with the monitoring occasions for any of Type 1- CSS without dedicated RRC configuration, or Types 0, 0A, or 2 CSS configurations within a single span of three consecutive OFDM symbols within a slot</w:t>
            </w:r>
          </w:p>
          <w:p>
            <w:pPr>
              <w:pStyle w:val="55"/>
            </w:pPr>
            <w:r>
              <w:t>3) Monitoring DCI formats 0_0, 1_0, 0_1, 1_1</w:t>
            </w:r>
          </w:p>
          <w:p>
            <w:pPr>
              <w:pStyle w:val="55"/>
            </w:pPr>
            <w:r>
              <w:t>4) Number of PDCCH blind decodes per slot with a given SCS follows Case 1-1 table</w:t>
            </w:r>
          </w:p>
          <w:p>
            <w:pPr>
              <w:pStyle w:val="55"/>
            </w:pPr>
            <w:r>
              <w:t>5) Processing one unicast DCI scheduling DL and one unicast DCI scheduling UL per slot per scheduled CC for FDD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4. UL control channel and procedure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4-1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UL control channel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PUCCH format 0 over 1 OFDM symbols once per slot</w:t>
            </w:r>
          </w:p>
          <w:p>
            <w:pPr>
              <w:pStyle w:val="55"/>
            </w:pPr>
            <w:r>
              <w:t>2) PUCCH format 0 over 2 OFDM symbols once per slot with frequency hopping as "enabled"</w:t>
            </w:r>
          </w:p>
          <w:p>
            <w:pPr>
              <w:pStyle w:val="55"/>
            </w:pPr>
            <w:r>
              <w:t>3) PUCCH format 1 over 4 – 14 OFDM symbols once per slot with intra-slot frequency hopping as "enabled"</w:t>
            </w:r>
          </w:p>
          <w:p>
            <w:pPr>
              <w:pStyle w:val="55"/>
            </w:pPr>
            <w:r>
              <w:t>5) One SR configuration per PUCCH group</w:t>
            </w:r>
          </w:p>
          <w:p>
            <w:pPr>
              <w:pStyle w:val="55"/>
            </w:pPr>
            <w:r>
              <w:t>6) HARQ-ACK transmission once per slot with its resource/timing determined by using the DCI</w:t>
            </w:r>
          </w:p>
          <w:p>
            <w:pPr>
              <w:pStyle w:val="55"/>
            </w:pPr>
            <w:r>
              <w:t>7)</w:t>
            </w:r>
          </w:p>
          <w:p>
            <w:pPr>
              <w:pStyle w:val="55"/>
            </w:pPr>
            <w:r>
              <w:t>SR/HARQ multiplexing once per slot using a PUCCH when SR/HARQ-ACK are supposed to be sent by overlapping PUCCH resources with the same starting symbols in a slot</w:t>
            </w:r>
          </w:p>
          <w:p>
            <w:pPr>
              <w:pStyle w:val="55"/>
            </w:pPr>
            <w:r>
              <w:t>8) HARQ-ACK piggyback on PUSCH with/without aperiodic CSI once per slot when the starting OFDM symbol of the PUSCH is the same as the starting OFDM symbols of the PUCCH resource that HARQ-ACK would have been transmitted on</w:t>
            </w:r>
          </w:p>
          <w:p>
            <w:pPr>
              <w:pStyle w:val="55"/>
            </w:pPr>
            <w:r>
              <w:t>9) Semi-static beta-offset configuration for HARQ-ACK</w:t>
            </w:r>
          </w:p>
          <w:p>
            <w:pPr>
              <w:pStyle w:val="55"/>
            </w:pPr>
            <w:r>
              <w:t>10) Single group of overlapping PUCCH/PUCCH and overlapping PUCCH/PUSCH s per slot per PUCCH cell group for control multiplexing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4-10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Dynamic HARQ-ACK codebook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Dynamic HARQ-ACK codebook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5. Scheduling/HARQ operation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5-1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scheduling/HARQ operation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Frequency-domain resource allocation</w:t>
            </w:r>
          </w:p>
          <w:p>
            <w:pPr>
              <w:pStyle w:val="55"/>
            </w:pPr>
            <w:r>
              <w:t>- RA Type 0 only and Type 1 only for PDSCH without interleaving</w:t>
            </w:r>
          </w:p>
          <w:p>
            <w:pPr>
              <w:pStyle w:val="55"/>
            </w:pPr>
            <w:r>
              <w:t>- RA Type 1 for PUSCH without interleaving</w:t>
            </w:r>
          </w:p>
          <w:p>
            <w:pPr>
              <w:pStyle w:val="55"/>
            </w:pPr>
            <w:r>
              <w:t>2) Time-domain resource allocation</w:t>
            </w:r>
          </w:p>
          <w:p>
            <w:pPr>
              <w:pStyle w:val="55"/>
            </w:pPr>
            <w:r>
              <w:t>- 1-14 OFDM symbols for PUSCH once per slot</w:t>
            </w:r>
          </w:p>
          <w:p>
            <w:pPr>
              <w:pStyle w:val="55"/>
            </w:pPr>
            <w:r>
              <w:t>- One unicast PDSCH per slot</w:t>
            </w:r>
          </w:p>
          <w:p>
            <w:pPr>
              <w:pStyle w:val="55"/>
            </w:pPr>
            <w:r>
              <w:t>- Starting symbol, and duration are determined by using the DCI</w:t>
            </w:r>
          </w:p>
          <w:p>
            <w:pPr>
              <w:pStyle w:val="55"/>
            </w:pPr>
            <w:r>
              <w:t>- PDSCH mapping type A with 7-14 OFDM symbols</w:t>
            </w:r>
          </w:p>
          <w:p>
            <w:pPr>
              <w:pStyle w:val="55"/>
            </w:pPr>
            <w:r>
              <w:t>- PUSCH mapping type A and type B</w:t>
            </w:r>
          </w:p>
          <w:p>
            <w:pPr>
              <w:pStyle w:val="55"/>
            </w:pPr>
            <w:r>
              <w:t>- For type 1 CSS without dedicated RRC configuration and for type 0, 0A, and 2 CSS, PDSCH mapping type A with {4-14} OFDM symbols and type B with {2, 4, 7} OFDM symbols</w:t>
            </w:r>
          </w:p>
          <w:p>
            <w:pPr>
              <w:pStyle w:val="55"/>
            </w:pPr>
            <w:r>
              <w:t>3) TBS determination</w:t>
            </w:r>
          </w:p>
          <w:p>
            <w:pPr>
              <w:pStyle w:val="55"/>
            </w:pPr>
            <w:r>
              <w:t>4) Nominal UE processing time for N1 and N2 (Capability #1)</w:t>
            </w:r>
          </w:p>
          <w:p>
            <w:pPr>
              <w:pStyle w:val="55"/>
            </w:pPr>
            <w:r>
              <w:t>5) HARQ process operation with configurable number of DL HARQ processes of up to 16</w:t>
            </w:r>
          </w:p>
          <w:p>
            <w:pPr>
              <w:pStyle w:val="55"/>
            </w:pPr>
            <w:r>
              <w:t>6) Cell specific RRC configured UL/DL assignment for TDD</w:t>
            </w:r>
          </w:p>
          <w:p>
            <w:pPr>
              <w:pStyle w:val="55"/>
            </w:pPr>
            <w:r>
              <w:t>7) Dynamic UL/DL determination based on L1 scheduling DCI with/without cell specific RRC configured UL/DL assignment</w:t>
            </w:r>
          </w:p>
          <w:p>
            <w:pPr>
              <w:pStyle w:val="55"/>
            </w:pPr>
            <w:r>
              <w:t>9) In TDD support at most one switch point per slot for actual DL/UL transmission(s)</w:t>
            </w:r>
          </w:p>
          <w:p>
            <w:pPr>
              <w:pStyle w:val="55"/>
            </w:pPr>
            <w:r>
              <w:t>10) DL scheduling slot offset K0=0</w:t>
            </w:r>
          </w:p>
          <w:p>
            <w:pPr>
              <w:pStyle w:val="55"/>
            </w:pPr>
            <w:r>
              <w:t>12) UL scheduling slot offset K2&lt;=12</w:t>
            </w:r>
          </w:p>
          <w:p>
            <w:pPr>
              <w:pStyle w:val="55"/>
            </w:pPr>
          </w:p>
          <w:p>
            <w:pPr>
              <w:pStyle w:val="55"/>
            </w:pPr>
            <w:r>
              <w:t>For type 1 CSS without dedicated RRC configuration and for type 0, 0A, and 2 CSS, interleaving for VRB-to-PRB mapping for PDSCH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6. CA/DC, BWP, SUL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6-1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BWP operation with restriction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1 UE-specific RRC configured DL BWP per carrier</w:t>
            </w:r>
          </w:p>
          <w:p>
            <w:pPr>
              <w:pStyle w:val="55"/>
            </w:pPr>
            <w:r>
              <w:t>2) 1 UE-specific RRC configured UL BWP per carrier</w:t>
            </w:r>
          </w:p>
          <w:p>
            <w:pPr>
              <w:pStyle w:val="55"/>
            </w:pPr>
            <w:r>
              <w:t>3) RRC reconfiguration of any parameters related to BWP</w:t>
            </w:r>
          </w:p>
          <w:p>
            <w:pPr>
              <w:pStyle w:val="55"/>
            </w:pPr>
            <w:r>
              <w:t>4) BW of a UE-specific RRC configured BWP includes BW of CORESET#0 (if CORESET#0 is present) and SSB for PCell/PSCell (if configured) and BW of the UE-specific RRC configured BWP includes SSB for SCell if there is SSB on SCell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7. Channel coding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7-1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Channel coding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LDPC encoding and associated functions for data on DL and UL</w:t>
            </w:r>
          </w:p>
          <w:p>
            <w:pPr>
              <w:pStyle w:val="55"/>
            </w:pPr>
            <w:r>
              <w:t>2) Polar encoding and associated functions for PBCH, DCI, and UCI</w:t>
            </w:r>
          </w:p>
          <w:p>
            <w:pPr>
              <w:pStyle w:val="55"/>
            </w:pPr>
            <w:r>
              <w:t>3) Coding for very small blocks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8. UL TPC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8-3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power control operation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Accumulated power control mode for closed loop</w:t>
            </w:r>
          </w:p>
          <w:p>
            <w:pPr>
              <w:pStyle w:val="55"/>
            </w:pPr>
            <w:r>
              <w:t>2) 1 TPC command loop for PUSCH, PUCCH respectively</w:t>
            </w:r>
          </w:p>
          <w:p>
            <w:pPr>
              <w:pStyle w:val="55"/>
            </w:pPr>
            <w:r>
              <w:t>3) One or multiple DL RS configured for pathloss estimation</w:t>
            </w:r>
          </w:p>
          <w:p>
            <w:pPr>
              <w:pStyle w:val="55"/>
            </w:pPr>
            <w:r>
              <w:t>4) One or multiple p0-alpha values configured for open loop PC</w:t>
            </w:r>
          </w:p>
          <w:p>
            <w:pPr>
              <w:pStyle w:val="55"/>
            </w:pPr>
            <w:r>
              <w:t>5) PUSCH power control</w:t>
            </w:r>
          </w:p>
          <w:p>
            <w:pPr>
              <w:pStyle w:val="55"/>
            </w:pPr>
            <w:r>
              <w:t>6) PUCCH power control</w:t>
            </w:r>
          </w:p>
          <w:p>
            <w:pPr>
              <w:pStyle w:val="55"/>
            </w:pPr>
            <w:r>
              <w:t>7) PRACH power control</w:t>
            </w:r>
          </w:p>
          <w:p>
            <w:pPr>
              <w:pStyle w:val="55"/>
            </w:pPr>
            <w:r>
              <w:t>8) SRS power control</w:t>
            </w:r>
          </w:p>
          <w:p>
            <w:pPr>
              <w:pStyle w:val="55"/>
            </w:pPr>
            <w:r>
              <w:t>9) PHR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</w:tbl>
    <w:p/>
    <w:p>
      <w:pPr>
        <w:pStyle w:val="51"/>
      </w:pPr>
      <w:r>
        <w:t>Table 4.2.15.1-2: Layer-2 and Layer-3 mandatory features for IAB-MT</w:t>
      </w:r>
    </w:p>
    <w:tbl>
      <w:tblPr>
        <w:tblStyle w:val="41"/>
        <w:tblW w:w="1049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723"/>
        <w:gridCol w:w="2126"/>
        <w:gridCol w:w="4962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Features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Index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Feature group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Components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20" w:type="dxa"/>
          </w:tcPr>
          <w:p>
            <w:pPr>
              <w:pStyle w:val="55"/>
            </w:pPr>
            <w:r>
              <w:t>0. General</w:t>
            </w:r>
          </w:p>
        </w:tc>
        <w:tc>
          <w:tcPr>
            <w:tcW w:w="723" w:type="dxa"/>
          </w:tcPr>
          <w:p>
            <w:pPr>
              <w:pStyle w:val="55"/>
            </w:pPr>
            <w:r>
              <w:t>N/A</w:t>
            </w:r>
          </w:p>
        </w:tc>
        <w:tc>
          <w:tcPr>
            <w:tcW w:w="2126" w:type="dxa"/>
          </w:tcPr>
          <w:p>
            <w:pPr>
              <w:pStyle w:val="55"/>
            </w:pPr>
            <w:r>
              <w:t>IAB procedures</w:t>
            </w:r>
          </w:p>
        </w:tc>
        <w:tc>
          <w:tcPr>
            <w:tcW w:w="4962" w:type="dxa"/>
          </w:tcPr>
          <w:p>
            <w:pPr>
              <w:pStyle w:val="55"/>
            </w:pPr>
            <w:r>
              <w:t>1) Routing using BAP protocol, as specified in TS 38.340 [23]</w:t>
            </w:r>
          </w:p>
          <w:p>
            <w:pPr>
              <w:pStyle w:val="55"/>
            </w:pPr>
            <w:r>
              <w:t>2) Bearer mapping using BAP protocol, as specified in TS 38.340 [23]</w:t>
            </w:r>
          </w:p>
          <w:p>
            <w:pPr>
              <w:pStyle w:val="55"/>
            </w:pPr>
            <w:r>
              <w:t>3) IAB-node IP address signalling over RRC, as specified in TS 38.331 [9]</w:t>
            </w:r>
          </w:p>
        </w:tc>
        <w:tc>
          <w:tcPr>
            <w:tcW w:w="1559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20" w:type="dxa"/>
          </w:tcPr>
          <w:p>
            <w:pPr>
              <w:pStyle w:val="55"/>
            </w:pPr>
            <w:r>
              <w:t>1. PDCP</w:t>
            </w:r>
          </w:p>
        </w:tc>
        <w:tc>
          <w:tcPr>
            <w:tcW w:w="723" w:type="dxa"/>
          </w:tcPr>
          <w:p>
            <w:pPr>
              <w:pStyle w:val="55"/>
            </w:pPr>
            <w:r>
              <w:t>1-0</w:t>
            </w:r>
          </w:p>
        </w:tc>
        <w:tc>
          <w:tcPr>
            <w:tcW w:w="2126" w:type="dxa"/>
          </w:tcPr>
          <w:p>
            <w:pPr>
              <w:pStyle w:val="55"/>
            </w:pPr>
            <w:r>
              <w:t>Basic PDCP procedures</w:t>
            </w:r>
          </w:p>
        </w:tc>
        <w:tc>
          <w:tcPr>
            <w:tcW w:w="4962" w:type="dxa"/>
          </w:tcPr>
          <w:p>
            <w:pPr>
              <w:pStyle w:val="55"/>
            </w:pPr>
            <w:r>
              <w:t>1) (de)Ciphering on SRB</w:t>
            </w:r>
          </w:p>
          <w:p>
            <w:pPr>
              <w:pStyle w:val="55"/>
            </w:pPr>
            <w:r>
              <w:t>2) Integrity protection on SRB</w:t>
            </w:r>
          </w:p>
          <w:p>
            <w:pPr>
              <w:pStyle w:val="55"/>
            </w:pPr>
            <w:r>
              <w:t>3) Timer based SDU discard</w:t>
            </w:r>
          </w:p>
          <w:p>
            <w:pPr>
              <w:pStyle w:val="55"/>
            </w:pPr>
            <w:r>
              <w:t>4) Re-ordering and in-order delivery</w:t>
            </w:r>
          </w:p>
          <w:p>
            <w:pPr>
              <w:pStyle w:val="55"/>
            </w:pPr>
            <w:r>
              <w:t>6) Duplicate discarding</w:t>
            </w:r>
          </w:p>
          <w:p>
            <w:pPr>
              <w:pStyle w:val="55"/>
            </w:pPr>
            <w:r>
              <w:t>7) 18bits SN</w:t>
            </w:r>
          </w:p>
        </w:tc>
        <w:tc>
          <w:tcPr>
            <w:tcW w:w="1559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2. RLC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RLC procedures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RLC TM</w:t>
            </w:r>
          </w:p>
          <w:p>
            <w:pPr>
              <w:pStyle w:val="55"/>
            </w:pPr>
            <w:r>
              <w:t>2) RLC AM with 18bits SN</w:t>
            </w:r>
          </w:p>
          <w:p>
            <w:pPr>
              <w:pStyle w:val="55"/>
            </w:pPr>
            <w:r>
              <w:t>3) SDU discard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NR RLC SN size for SRB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NR RLC SN size for SRB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3. MAC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3-0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MAC procedures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RA procedure on PCell</w:t>
            </w:r>
          </w:p>
          <w:p>
            <w:pPr>
              <w:pStyle w:val="55"/>
            </w:pPr>
            <w:r>
              <w:t>2) IAB-MT initiated RA procedure (including for beam recovery purpose)</w:t>
            </w:r>
          </w:p>
          <w:p>
            <w:pPr>
              <w:pStyle w:val="55"/>
            </w:pPr>
            <w:r>
              <w:t>3) NW initiated RA procedure (i.e. based on PDCCH)</w:t>
            </w:r>
          </w:p>
          <w:p>
            <w:pPr>
              <w:pStyle w:val="55"/>
            </w:pPr>
            <w:r>
              <w:t>4) Support of ssb-Threshold and association between preamble/PRACH occasion and SSB</w:t>
            </w:r>
          </w:p>
          <w:p>
            <w:pPr>
              <w:pStyle w:val="55"/>
            </w:pPr>
            <w:r>
              <w:t>5) Preamble grouping</w:t>
            </w:r>
          </w:p>
          <w:p>
            <w:pPr>
              <w:pStyle w:val="55"/>
            </w:pPr>
            <w:r>
              <w:t>6) UL single TA maintenance</w:t>
            </w:r>
          </w:p>
          <w:p>
            <w:pPr>
              <w:pStyle w:val="55"/>
            </w:pPr>
            <w:r>
              <w:t>7) HARQ operation for DL and UL</w:t>
            </w:r>
          </w:p>
          <w:p>
            <w:pPr>
              <w:pStyle w:val="55"/>
            </w:pPr>
            <w:r>
              <w:t>8) LCH prioritization</w:t>
            </w:r>
          </w:p>
          <w:p>
            <w:pPr>
              <w:pStyle w:val="55"/>
            </w:pPr>
            <w:r>
              <w:t>9) Prioritized bit rate</w:t>
            </w:r>
          </w:p>
          <w:p>
            <w:pPr>
              <w:pStyle w:val="55"/>
            </w:pPr>
            <w:r>
              <w:t>10) Multiplexing</w:t>
            </w:r>
          </w:p>
          <w:p>
            <w:pPr>
              <w:pStyle w:val="55"/>
            </w:pPr>
            <w:r>
              <w:t>11) SR with single SR configuration</w:t>
            </w:r>
          </w:p>
          <w:p>
            <w:pPr>
              <w:pStyle w:val="55"/>
            </w:pPr>
            <w:r>
              <w:t>12) BSR</w:t>
            </w:r>
          </w:p>
          <w:p>
            <w:pPr>
              <w:pStyle w:val="55"/>
            </w:pPr>
            <w:r>
              <w:t>13) PHR</w:t>
            </w:r>
          </w:p>
          <w:p>
            <w:pPr>
              <w:pStyle w:val="55"/>
            </w:pPr>
            <w:r>
              <w:t>14) 8bits and 16bits L field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9. RRC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9-1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RRC buffer size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Maximum overall RRC configuration size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45 Kbytes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11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9-2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RRC processing time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RRC connection establishment</w:t>
            </w:r>
          </w:p>
          <w:p>
            <w:pPr>
              <w:pStyle w:val="55"/>
            </w:pPr>
            <w:r>
              <w:t>2) RRC connection resume without SCell addition/release and SCG establishment/modification/release</w:t>
            </w:r>
          </w:p>
          <w:p>
            <w:pPr>
              <w:pStyle w:val="55"/>
            </w:pPr>
            <w:r>
              <w:t>3) RRC connection reconfiguration without SCell addition/release and SCG establishment/modification/release</w:t>
            </w:r>
          </w:p>
          <w:p>
            <w:pPr>
              <w:pStyle w:val="55"/>
            </w:pPr>
            <w:r>
              <w:t>4) RRC connection re-establishment.</w:t>
            </w:r>
          </w:p>
          <w:p>
            <w:pPr>
              <w:pStyle w:val="55"/>
            </w:pPr>
            <w:r>
              <w:t>5) RRC connection reconfiguration with sync procedure</w:t>
            </w:r>
          </w:p>
          <w:p>
            <w:pPr>
              <w:pStyle w:val="55"/>
            </w:pPr>
            <w:r>
              <w:t>6) RRC connection reconfiguration with SCell addition/release or SCG establishment/modification/release</w:t>
            </w:r>
          </w:p>
          <w:p>
            <w:pPr>
              <w:pStyle w:val="55"/>
            </w:pPr>
            <w:r>
              <w:t>7) RRC connection resume</w:t>
            </w:r>
          </w:p>
          <w:p>
            <w:pPr>
              <w:pStyle w:val="55"/>
            </w:pPr>
            <w:r>
              <w:t>8) Initial security activation</w:t>
            </w:r>
          </w:p>
          <w:p>
            <w:pPr>
              <w:pStyle w:val="55"/>
            </w:pPr>
            <w:r>
              <w:t>9) Counter check</w:t>
            </w:r>
          </w:p>
          <w:p>
            <w:pPr>
              <w:pStyle w:val="55"/>
            </w:pPr>
            <w:r>
              <w:t>10) UE capability transfer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to 3) 10ms</w:t>
            </w:r>
          </w:p>
          <w:p>
            <w:pPr>
              <w:pStyle w:val="55"/>
            </w:pPr>
            <w:r>
              <w:t>4) 10ms</w:t>
            </w:r>
          </w:p>
          <w:p>
            <w:pPr>
              <w:pStyle w:val="55"/>
            </w:pPr>
            <w:r>
              <w:t>5): 10ms + additional delay (cell search time and synchronization) defined in TS 38.133</w:t>
            </w:r>
          </w:p>
          <w:p>
            <w:pPr>
              <w:pStyle w:val="55"/>
            </w:pPr>
            <w:r>
              <w:t>6) and 7) 16ms</w:t>
            </w:r>
          </w:p>
          <w:p>
            <w:pPr>
              <w:pStyle w:val="55"/>
            </w:pPr>
            <w:r>
              <w:t>7) 10 or 6ms</w:t>
            </w:r>
          </w:p>
          <w:p>
            <w:pPr>
              <w:pStyle w:val="55"/>
            </w:pPr>
            <w:r>
              <w:t>(See details in clause 12, TS 38.331)</w:t>
            </w:r>
          </w:p>
          <w:p>
            <w:pPr>
              <w:pStyle w:val="55"/>
            </w:pPr>
            <w:r>
              <w:t>8) and 9) 5ms</w:t>
            </w:r>
          </w:p>
          <w:p>
            <w:pPr>
              <w:pStyle w:val="55"/>
            </w:pPr>
            <w:r>
              <w:t>10) 80ms</w:t>
            </w:r>
          </w:p>
        </w:tc>
      </w:tr>
    </w:tbl>
    <w:p>
      <w:pPr>
        <w:pStyle w:val="124"/>
        <w:ind w:left="2268" w:hanging="1984"/>
        <w:rPr>
          <w:lang w:eastAsia="ko-KR"/>
        </w:rPr>
      </w:pPr>
    </w:p>
    <w:bookmarkEnd w:id="3"/>
    <w:bookmarkEnd w:id="4"/>
    <w:p>
      <w:pPr>
        <w:pStyle w:val="96"/>
        <w:jc w:val="both"/>
        <w:rPr>
          <w:lang w:eastAsia="ko-KR"/>
        </w:rPr>
      </w:pPr>
      <w:bookmarkStart w:id="13" w:name="_Toc90287299"/>
      <w:bookmarkStart w:id="14" w:name="_Toc46490430"/>
      <w:bookmarkStart w:id="15" w:name="_Toc52796587"/>
      <w:bookmarkStart w:id="16" w:name="_Toc37296299"/>
      <w:bookmarkStart w:id="17" w:name="_Toc100872141"/>
      <w:bookmarkStart w:id="18" w:name="_Toc52752125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eastAsia="Malgun Gothic"/>
          <w:i/>
        </w:rPr>
        <w:t xml:space="preserve">End of Changes </w:t>
      </w:r>
      <w:bookmarkEnd w:id="13"/>
      <w:bookmarkEnd w:id="14"/>
      <w:bookmarkEnd w:id="15"/>
      <w:bookmarkEnd w:id="16"/>
      <w:bookmarkEnd w:id="17"/>
      <w:bookmarkEnd w:id="18"/>
      <w:r>
        <w:fldChar w:fldCharType="begin"/>
      </w:r>
      <w:r>
        <w:fldChar w:fldCharType="end"/>
      </w:r>
    </w:p>
    <w:sectPr>
      <w:headerReference r:id="rId11" w:type="default"/>
      <w:footerReference r:id="rId12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1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8213AB"/>
    <w:rsid w:val="030E4812"/>
    <w:rsid w:val="032C5213"/>
    <w:rsid w:val="033D19E3"/>
    <w:rsid w:val="039456E8"/>
    <w:rsid w:val="039D3089"/>
    <w:rsid w:val="03CE08E1"/>
    <w:rsid w:val="03FE00ED"/>
    <w:rsid w:val="041B66CA"/>
    <w:rsid w:val="050E43F6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B1936C6"/>
    <w:rsid w:val="0B434BAB"/>
    <w:rsid w:val="0B490A6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0FFF309D"/>
    <w:rsid w:val="106A1193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262A3E"/>
    <w:rsid w:val="15426C85"/>
    <w:rsid w:val="15753395"/>
    <w:rsid w:val="15FC1AEC"/>
    <w:rsid w:val="168C2DE2"/>
    <w:rsid w:val="1714051E"/>
    <w:rsid w:val="17245A62"/>
    <w:rsid w:val="176F2837"/>
    <w:rsid w:val="177D1767"/>
    <w:rsid w:val="17EE43B4"/>
    <w:rsid w:val="17FEEECA"/>
    <w:rsid w:val="182C16C1"/>
    <w:rsid w:val="18380066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467572"/>
    <w:rsid w:val="1B61316D"/>
    <w:rsid w:val="1C4C0327"/>
    <w:rsid w:val="1C600D70"/>
    <w:rsid w:val="1C81160A"/>
    <w:rsid w:val="1C9A088B"/>
    <w:rsid w:val="1D38588F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31B5533"/>
    <w:rsid w:val="239B5BBD"/>
    <w:rsid w:val="23B82227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87B4D47"/>
    <w:rsid w:val="287F1345"/>
    <w:rsid w:val="29F1306A"/>
    <w:rsid w:val="2A392A9B"/>
    <w:rsid w:val="2A43422C"/>
    <w:rsid w:val="2BAC3BE8"/>
    <w:rsid w:val="2BB8335E"/>
    <w:rsid w:val="2BE2044A"/>
    <w:rsid w:val="2C3C5C02"/>
    <w:rsid w:val="2C604AAB"/>
    <w:rsid w:val="2D212EB9"/>
    <w:rsid w:val="2D616C39"/>
    <w:rsid w:val="2D6D4292"/>
    <w:rsid w:val="2DE420C2"/>
    <w:rsid w:val="2E18244E"/>
    <w:rsid w:val="2E2FCFFD"/>
    <w:rsid w:val="2E4311E3"/>
    <w:rsid w:val="2EAA6718"/>
    <w:rsid w:val="2EBC3FE6"/>
    <w:rsid w:val="2FFBF43B"/>
    <w:rsid w:val="305E3588"/>
    <w:rsid w:val="30A10916"/>
    <w:rsid w:val="313F5D12"/>
    <w:rsid w:val="31D72BED"/>
    <w:rsid w:val="32385EF0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67A0819"/>
    <w:rsid w:val="37336F12"/>
    <w:rsid w:val="374D6A23"/>
    <w:rsid w:val="381551E7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AF126AF"/>
    <w:rsid w:val="3AFD31D5"/>
    <w:rsid w:val="3B1757C6"/>
    <w:rsid w:val="3BA12B5C"/>
    <w:rsid w:val="3BD356E5"/>
    <w:rsid w:val="3BD87B89"/>
    <w:rsid w:val="3BE4161E"/>
    <w:rsid w:val="3BF04572"/>
    <w:rsid w:val="3C0D403B"/>
    <w:rsid w:val="3C167469"/>
    <w:rsid w:val="3C6FD583"/>
    <w:rsid w:val="3C9551F8"/>
    <w:rsid w:val="3CF10B63"/>
    <w:rsid w:val="3D303A3A"/>
    <w:rsid w:val="3D5172B0"/>
    <w:rsid w:val="3D576E60"/>
    <w:rsid w:val="3D7B2FB2"/>
    <w:rsid w:val="3DF173D4"/>
    <w:rsid w:val="3E7F3D7E"/>
    <w:rsid w:val="3EA242D1"/>
    <w:rsid w:val="3EFD3E19"/>
    <w:rsid w:val="3FB138C5"/>
    <w:rsid w:val="3FFDBAC2"/>
    <w:rsid w:val="40C70D27"/>
    <w:rsid w:val="411078CD"/>
    <w:rsid w:val="4302576A"/>
    <w:rsid w:val="436F5E7F"/>
    <w:rsid w:val="439D1B66"/>
    <w:rsid w:val="44AE2036"/>
    <w:rsid w:val="44FF4F56"/>
    <w:rsid w:val="451A67FB"/>
    <w:rsid w:val="45236C3D"/>
    <w:rsid w:val="4527741A"/>
    <w:rsid w:val="45626A92"/>
    <w:rsid w:val="45864BD9"/>
    <w:rsid w:val="45C85196"/>
    <w:rsid w:val="45E939A4"/>
    <w:rsid w:val="46007588"/>
    <w:rsid w:val="466B569F"/>
    <w:rsid w:val="46B40B0B"/>
    <w:rsid w:val="46B571D4"/>
    <w:rsid w:val="470C691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BD7AE32"/>
    <w:rsid w:val="4BFD8909"/>
    <w:rsid w:val="4C55370E"/>
    <w:rsid w:val="4C586072"/>
    <w:rsid w:val="4CCF5321"/>
    <w:rsid w:val="4CEF795D"/>
    <w:rsid w:val="4D2D68AF"/>
    <w:rsid w:val="4DE56DAD"/>
    <w:rsid w:val="4EE154B9"/>
    <w:rsid w:val="4F654ABC"/>
    <w:rsid w:val="4FEBAE5C"/>
    <w:rsid w:val="505F6398"/>
    <w:rsid w:val="506061DA"/>
    <w:rsid w:val="50B014E3"/>
    <w:rsid w:val="51133395"/>
    <w:rsid w:val="51863118"/>
    <w:rsid w:val="51DF119C"/>
    <w:rsid w:val="526A12E9"/>
    <w:rsid w:val="52CD24EF"/>
    <w:rsid w:val="537C62DA"/>
    <w:rsid w:val="53F5614F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86104B"/>
    <w:rsid w:val="58891327"/>
    <w:rsid w:val="58C5105E"/>
    <w:rsid w:val="59760091"/>
    <w:rsid w:val="59F93CA1"/>
    <w:rsid w:val="5A42414A"/>
    <w:rsid w:val="5A9621C3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B4480F"/>
    <w:rsid w:val="5EBFB29E"/>
    <w:rsid w:val="5EEF17D5"/>
    <w:rsid w:val="5EF02BBA"/>
    <w:rsid w:val="5F022486"/>
    <w:rsid w:val="5F7F3A9C"/>
    <w:rsid w:val="5F996801"/>
    <w:rsid w:val="5FAE7E54"/>
    <w:rsid w:val="6052009B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DA56C6"/>
    <w:rsid w:val="68301BB8"/>
    <w:rsid w:val="69595FBA"/>
    <w:rsid w:val="69B8575D"/>
    <w:rsid w:val="69F201C5"/>
    <w:rsid w:val="6A2E111B"/>
    <w:rsid w:val="6A715E9F"/>
    <w:rsid w:val="6AC95741"/>
    <w:rsid w:val="6ACA31C3"/>
    <w:rsid w:val="6AE25E6B"/>
    <w:rsid w:val="6AF40388"/>
    <w:rsid w:val="6B282CC7"/>
    <w:rsid w:val="6B3237E5"/>
    <w:rsid w:val="6B9F2FA9"/>
    <w:rsid w:val="6CA53561"/>
    <w:rsid w:val="6CCE4B92"/>
    <w:rsid w:val="6CEE3336"/>
    <w:rsid w:val="6CFB8F41"/>
    <w:rsid w:val="6D201B5F"/>
    <w:rsid w:val="6DA97BC0"/>
    <w:rsid w:val="6DB12CE1"/>
    <w:rsid w:val="6DE452F5"/>
    <w:rsid w:val="6DFB0936"/>
    <w:rsid w:val="6E60786D"/>
    <w:rsid w:val="6F4624AF"/>
    <w:rsid w:val="6F7F1E7E"/>
    <w:rsid w:val="6FB940CF"/>
    <w:rsid w:val="701F257D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237D69"/>
    <w:rsid w:val="7473559F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8E5DC1"/>
    <w:rsid w:val="793609A7"/>
    <w:rsid w:val="793D60B1"/>
    <w:rsid w:val="79C008CD"/>
    <w:rsid w:val="79D80E11"/>
    <w:rsid w:val="7A6B5A5E"/>
    <w:rsid w:val="7AB13656"/>
    <w:rsid w:val="7AB91DA7"/>
    <w:rsid w:val="7B20013A"/>
    <w:rsid w:val="7B2D5633"/>
    <w:rsid w:val="7B6F2C94"/>
    <w:rsid w:val="7B7C5A2A"/>
    <w:rsid w:val="7BA826F1"/>
    <w:rsid w:val="7BBF262B"/>
    <w:rsid w:val="7BCC3F01"/>
    <w:rsid w:val="7C7D6C58"/>
    <w:rsid w:val="7D2334DD"/>
    <w:rsid w:val="7D3F64CB"/>
    <w:rsid w:val="7D854AB7"/>
    <w:rsid w:val="7D916782"/>
    <w:rsid w:val="7DA80357"/>
    <w:rsid w:val="7DAA0064"/>
    <w:rsid w:val="7E075CB6"/>
    <w:rsid w:val="7E144E72"/>
    <w:rsid w:val="7F401942"/>
    <w:rsid w:val="7F642B37"/>
    <w:rsid w:val="7F8242C1"/>
    <w:rsid w:val="7FD0E2C0"/>
    <w:rsid w:val="7FD739A5"/>
    <w:rsid w:val="7FDB8CD4"/>
    <w:rsid w:val="7FF624CB"/>
    <w:rsid w:val="9FFE3910"/>
    <w:rsid w:val="AAFF6892"/>
    <w:rsid w:val="AF5FDEF1"/>
    <w:rsid w:val="B7FF1735"/>
    <w:rsid w:val="BAF3044B"/>
    <w:rsid w:val="BDF7B475"/>
    <w:rsid w:val="CFFF3425"/>
    <w:rsid w:val="DEDF5B31"/>
    <w:rsid w:val="E76F16C5"/>
    <w:rsid w:val="EEE92946"/>
    <w:rsid w:val="EFDFE7AE"/>
    <w:rsid w:val="FDBDD261"/>
    <w:rsid w:val="FF7CAB98"/>
    <w:rsid w:val="FFFDB962"/>
    <w:rsid w:val="FF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.ft/e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0</TotalTime>
  <ScaleCrop>false</ScaleCrop>
  <LinksUpToDate>false</LinksUpToDate>
  <CharactersWithSpaces>189462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2022-05-21T06:15:00Z</dcterms:created>
  <dc:creator>MCC Support</dc:creator>
  <cp:lastModifiedBy>ZTE</cp:lastModifiedBy>
  <cp:lastPrinted>2017-05-12T07:55:00Z</cp:lastPrinted>
  <dcterms:modified xsi:type="dcterms:W3CDTF">2025-02-07T14:34:30Z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2052-11.8.2.12065</vt:lpwstr>
  </property>
  <property fmtid="{D5CDD505-2E9C-101B-9397-08002B2CF9AE}" pid="66" name="ICV">
    <vt:lpwstr>F7B29AAF3B77B342E0288A67A9BF3504</vt:lpwstr>
  </property>
</Properties>
</file>